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18C87015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6165E1">
        <w:rPr>
          <w:b/>
          <w:noProof/>
          <w:sz w:val="24"/>
        </w:rPr>
        <w:t>1</w:t>
      </w:r>
      <w:r w:rsidR="0036171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 w:rsidR="006165E1">
        <w:rPr>
          <w:b/>
          <w:i/>
          <w:noProof/>
          <w:sz w:val="28"/>
        </w:rPr>
        <w:t>4</w:t>
      </w:r>
      <w:r w:rsidR="009E2305">
        <w:rPr>
          <w:b/>
          <w:i/>
          <w:noProof/>
          <w:sz w:val="28"/>
        </w:rPr>
        <w:t>19645</w:t>
      </w:r>
      <w:bookmarkStart w:id="0" w:name="_GoBack"/>
      <w:bookmarkEnd w:id="0"/>
    </w:p>
    <w:p w14:paraId="45B6A111" w14:textId="117152AF" w:rsidR="00940222" w:rsidRPr="0052514D" w:rsidRDefault="0036171D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508E45E5" w14:textId="77777777" w:rsidR="00A01ADF" w:rsidRPr="00F5659D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77FFFF13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>iscussion on</w:t>
      </w:r>
      <w:r w:rsidR="003D04FF">
        <w:rPr>
          <w:rFonts w:ascii="Arial" w:hAnsi="Arial" w:cs="Arial"/>
          <w:b/>
          <w:sz w:val="22"/>
          <w:szCs w:val="22"/>
        </w:rPr>
        <w:t xml:space="preserve"> </w:t>
      </w:r>
      <w:r w:rsidR="00810804">
        <w:rPr>
          <w:rFonts w:ascii="Arial" w:hAnsi="Arial" w:cs="Arial"/>
          <w:b/>
          <w:sz w:val="22"/>
          <w:szCs w:val="22"/>
        </w:rPr>
        <w:t>IoT-NTN HPUE Tx requirements</w:t>
      </w:r>
      <w:r w:rsidR="00F75D7E">
        <w:rPr>
          <w:rFonts w:ascii="Arial" w:hAnsi="Arial" w:cs="Arial"/>
          <w:b/>
          <w:sz w:val="22"/>
          <w:szCs w:val="22"/>
        </w:rPr>
        <w:t xml:space="preserve"> and SAR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54996397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666B3">
        <w:rPr>
          <w:rFonts w:ascii="Arial" w:hAnsi="Arial" w:cs="Arial"/>
          <w:b/>
          <w:sz w:val="22"/>
          <w:szCs w:val="22"/>
        </w:rPr>
        <w:t>7</w:t>
      </w:r>
      <w:r w:rsidR="00F5659D">
        <w:rPr>
          <w:rFonts w:ascii="Arial" w:hAnsi="Arial" w:cs="Arial"/>
          <w:b/>
          <w:sz w:val="22"/>
          <w:szCs w:val="22"/>
        </w:rPr>
        <w:t>.</w:t>
      </w:r>
      <w:r w:rsidR="00810804">
        <w:rPr>
          <w:rFonts w:ascii="Arial" w:hAnsi="Arial" w:cs="Arial"/>
          <w:b/>
          <w:sz w:val="22"/>
          <w:szCs w:val="22"/>
        </w:rPr>
        <w:t>8</w:t>
      </w:r>
      <w:r w:rsidR="009112D7">
        <w:rPr>
          <w:rFonts w:ascii="Arial" w:hAnsi="Arial" w:cs="Arial"/>
          <w:b/>
          <w:sz w:val="22"/>
          <w:szCs w:val="22"/>
        </w:rPr>
        <w:t>.2</w:t>
      </w:r>
      <w:r w:rsidR="00810804">
        <w:rPr>
          <w:rFonts w:ascii="Arial" w:hAnsi="Arial" w:cs="Arial"/>
          <w:b/>
          <w:sz w:val="22"/>
          <w:szCs w:val="22"/>
        </w:rPr>
        <w:t>.3.1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6458EABE" w14:textId="514A9589" w:rsidR="0096690A" w:rsidRDefault="00076746" w:rsidP="009112D7">
      <w:r>
        <w:t xml:space="preserve">In the </w:t>
      </w:r>
      <w:r w:rsidR="00AA45FC">
        <w:t>RAN4#11</w:t>
      </w:r>
      <w:r w:rsidR="0096690A">
        <w:t>2</w:t>
      </w:r>
      <w:r w:rsidR="00AA45FC">
        <w:t xml:space="preserve"> </w:t>
      </w:r>
      <w:r w:rsidR="00AA45FC">
        <w:rPr>
          <w:rFonts w:hint="eastAsia"/>
          <w:lang w:eastAsia="zh-CN"/>
        </w:rPr>
        <w:t>meeting</w:t>
      </w:r>
      <w:r w:rsidR="00AA45FC">
        <w:t>, the WF R4-</w:t>
      </w:r>
      <w:r w:rsidR="009112D7">
        <w:t>241</w:t>
      </w:r>
      <w:r w:rsidR="0089762B">
        <w:t>7205</w:t>
      </w:r>
      <w:r w:rsidR="009112D7">
        <w:t xml:space="preserve"> [1]</w:t>
      </w:r>
      <w:r w:rsidR="0089762B">
        <w:t>, the way forwards of IoT-NTN HPUE Tx requirements were captured especially on feasibility of power classes and the SAR topics.</w:t>
      </w:r>
    </w:p>
    <w:p w14:paraId="3557889B" w14:textId="455B506F" w:rsidR="0089762B" w:rsidRDefault="0089762B" w:rsidP="009112D7">
      <w:r>
        <w:t>In this paper, we will further discuss the Tx requirements and SAR for NTN HPUE handheld devices.</w:t>
      </w:r>
    </w:p>
    <w:p w14:paraId="1B7823D6" w14:textId="7DF659D5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F75D7E">
        <w:t>IoT-NTN HPUE Tx requirements</w:t>
      </w:r>
    </w:p>
    <w:p w14:paraId="48D609D6" w14:textId="03529A9E" w:rsidR="00534556" w:rsidRDefault="00C6173A" w:rsidP="00EF3EFD">
      <w:pPr>
        <w:rPr>
          <w:lang w:val="sv-SE" w:eastAsia="zh-CN"/>
        </w:rPr>
      </w:pPr>
      <w:r>
        <w:rPr>
          <w:lang w:val="sv-SE" w:eastAsia="zh-CN"/>
        </w:rPr>
        <w:t>Similar as the NR-NTN HPUE Tx requirement discussions, most Tx requirements are pending on the co-ex study conclusions. And considering the agreement in co-ex study in last meeting [2], that the ACLR for</w:t>
      </w:r>
      <w:r w:rsidR="00031C1A">
        <w:rPr>
          <w:lang w:val="sv-SE" w:eastAsia="zh-CN"/>
        </w:rPr>
        <w:t xml:space="preserve"> IoT-NTN HPUE would also take the co-ex study preliminary observation as a starting point, and to further check the AMPR, additional SE, and also considering the implmentation difficulties taking into account the state-of-art duplexer and PA.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173A" w14:paraId="1E447330" w14:textId="77777777" w:rsidTr="00C6173A">
        <w:tc>
          <w:tcPr>
            <w:tcW w:w="9629" w:type="dxa"/>
          </w:tcPr>
          <w:p w14:paraId="4303B907" w14:textId="77777777" w:rsidR="00C6173A" w:rsidRPr="008837ED" w:rsidRDefault="00C6173A" w:rsidP="00C6173A">
            <w:pPr>
              <w:rPr>
                <w:b/>
                <w:u w:val="single"/>
                <w:lang w:eastAsia="ko-KR"/>
              </w:rPr>
            </w:pPr>
            <w:r w:rsidRPr="008837ED">
              <w:rPr>
                <w:b/>
                <w:u w:val="single"/>
                <w:lang w:eastAsia="ko-KR"/>
              </w:rPr>
              <w:t>Issue 1-8: NR-NTN ACIR/ACLR</w:t>
            </w:r>
          </w:p>
          <w:p w14:paraId="00DE0B0D" w14:textId="77777777" w:rsidR="00C6173A" w:rsidRPr="008837ED" w:rsidRDefault="00C6173A" w:rsidP="00C6173A">
            <w:pPr>
              <w:rPr>
                <w:b/>
                <w:bCs/>
                <w:iCs/>
                <w:lang w:eastAsia="zh-CN"/>
              </w:rPr>
            </w:pPr>
            <w:r w:rsidRPr="008837ED">
              <w:rPr>
                <w:b/>
                <w:bCs/>
                <w:iCs/>
                <w:lang w:eastAsia="zh-CN"/>
              </w:rPr>
              <w:t>Agreement:</w:t>
            </w:r>
          </w:p>
          <w:p w14:paraId="615AAC77" w14:textId="77777777" w:rsidR="00C6173A" w:rsidRPr="008837ED" w:rsidRDefault="00C6173A" w:rsidP="00C6173A">
            <w:pPr>
              <w:pStyle w:val="a6"/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iCs/>
              </w:rPr>
            </w:pPr>
            <w:r w:rsidRPr="008837ED">
              <w:rPr>
                <w:rFonts w:eastAsiaTheme="minorEastAsia"/>
                <w:iCs/>
              </w:rPr>
              <w:t>Consider following observations can be used as a starting point for RF requirements analysis/studies:</w:t>
            </w:r>
          </w:p>
          <w:p w14:paraId="6E973AA7" w14:textId="77777777" w:rsidR="00C6173A" w:rsidRPr="008837ED" w:rsidRDefault="00C6173A" w:rsidP="00C6173A">
            <w:pPr>
              <w:pStyle w:val="a6"/>
              <w:widowControl/>
              <w:numPr>
                <w:ilvl w:val="1"/>
                <w:numId w:val="48"/>
              </w:numPr>
              <w:overflowPunct w:val="0"/>
              <w:autoSpaceDE w:val="0"/>
              <w:autoSpaceDN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iCs/>
              </w:rPr>
            </w:pPr>
            <w:r w:rsidRPr="008837ED">
              <w:rPr>
                <w:rFonts w:eastAsiaTheme="minorEastAsia"/>
                <w:iCs/>
              </w:rPr>
              <w:t>Candidate ACLR value for NR-NTN PC2/PC1.5/PC1, based on initial co-ex study results received in #112bis meeting, is 30 dBc</w:t>
            </w:r>
          </w:p>
          <w:p w14:paraId="3AB213C7" w14:textId="77777777" w:rsidR="00C6173A" w:rsidRPr="008837ED" w:rsidRDefault="00C6173A" w:rsidP="00C6173A">
            <w:pPr>
              <w:pStyle w:val="a6"/>
              <w:widowControl/>
              <w:numPr>
                <w:ilvl w:val="1"/>
                <w:numId w:val="48"/>
              </w:numPr>
              <w:overflowPunct w:val="0"/>
              <w:autoSpaceDE w:val="0"/>
              <w:autoSpaceDN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iCs/>
              </w:rPr>
            </w:pPr>
            <w:r w:rsidRPr="008837ED">
              <w:rPr>
                <w:rFonts w:eastAsiaTheme="minorEastAsia"/>
                <w:iCs/>
              </w:rPr>
              <w:t xml:space="preserve">The current TN requirements are more stringent than the observations from co-existence results. Overlapping geographic coverage </w:t>
            </w:r>
            <w:r w:rsidRPr="008837ED">
              <w:rPr>
                <w:rFonts w:eastAsiaTheme="minorEastAsia" w:hint="eastAsia"/>
                <w:iCs/>
              </w:rPr>
              <w:t>between</w:t>
            </w:r>
            <w:r w:rsidRPr="008837ED">
              <w:rPr>
                <w:rFonts w:eastAsiaTheme="minorEastAsia"/>
                <w:iCs/>
              </w:rPr>
              <w:t xml:space="preserve"> NTN and TN is discussion in RAN4 in other WIs. </w:t>
            </w:r>
          </w:p>
          <w:p w14:paraId="5CAD7D8D" w14:textId="77777777" w:rsidR="00C6173A" w:rsidRPr="008837ED" w:rsidRDefault="00C6173A" w:rsidP="00C6173A">
            <w:pPr>
              <w:pStyle w:val="a6"/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iCs/>
              </w:rPr>
            </w:pPr>
            <w:r w:rsidRPr="008837ED">
              <w:rPr>
                <w:rFonts w:eastAsiaTheme="minorEastAsia"/>
                <w:iCs/>
              </w:rPr>
              <w:t xml:space="preserve">FFS for final ACLR requirements </w:t>
            </w:r>
          </w:p>
          <w:p w14:paraId="06B67646" w14:textId="77777777" w:rsidR="00C6173A" w:rsidRPr="008837ED" w:rsidRDefault="00C6173A" w:rsidP="00C6173A">
            <w:pPr>
              <w:spacing w:after="120"/>
              <w:rPr>
                <w:szCs w:val="24"/>
                <w:lang w:eastAsia="zh-CN"/>
              </w:rPr>
            </w:pPr>
          </w:p>
          <w:p w14:paraId="20E40C0F" w14:textId="77777777" w:rsidR="00C6173A" w:rsidRPr="008837ED" w:rsidRDefault="00C6173A" w:rsidP="00C6173A">
            <w:pPr>
              <w:rPr>
                <w:b/>
                <w:u w:val="single"/>
                <w:lang w:eastAsia="ko-KR"/>
              </w:rPr>
            </w:pPr>
            <w:r w:rsidRPr="008837ED">
              <w:rPr>
                <w:b/>
                <w:u w:val="single"/>
                <w:lang w:eastAsia="ko-KR"/>
              </w:rPr>
              <w:t xml:space="preserve">Issue 1-9: IoT-NTN ACIR/ACLR </w:t>
            </w:r>
          </w:p>
          <w:p w14:paraId="67AF70DE" w14:textId="77777777" w:rsidR="00C6173A" w:rsidRPr="008837ED" w:rsidRDefault="00C6173A" w:rsidP="00C6173A">
            <w:pPr>
              <w:rPr>
                <w:rFonts w:eastAsiaTheme="minorEastAsia"/>
                <w:b/>
                <w:lang w:eastAsia="zh-CN"/>
              </w:rPr>
            </w:pPr>
            <w:r w:rsidRPr="008837ED">
              <w:rPr>
                <w:rFonts w:eastAsiaTheme="minorEastAsia" w:hint="eastAsia"/>
                <w:b/>
                <w:lang w:eastAsia="zh-CN"/>
              </w:rPr>
              <w:t>A</w:t>
            </w:r>
            <w:r w:rsidRPr="008837ED">
              <w:rPr>
                <w:rFonts w:eastAsiaTheme="minorEastAsia"/>
                <w:b/>
                <w:lang w:eastAsia="zh-CN"/>
              </w:rPr>
              <w:t xml:space="preserve">greement: </w:t>
            </w:r>
          </w:p>
          <w:p w14:paraId="64760255" w14:textId="4DAB01E4" w:rsidR="00C6173A" w:rsidRPr="00C6173A" w:rsidRDefault="00C6173A" w:rsidP="00EF3EFD">
            <w:pPr>
              <w:pStyle w:val="a6"/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</w:rPr>
            </w:pPr>
            <w:r w:rsidRPr="008837ED">
              <w:rPr>
                <w:rFonts w:eastAsiaTheme="minorEastAsia"/>
                <w:iCs/>
              </w:rPr>
              <w:t>Take same approach in issue 1-8</w:t>
            </w:r>
          </w:p>
        </w:tc>
      </w:tr>
    </w:tbl>
    <w:p w14:paraId="02423819" w14:textId="13026097" w:rsidR="00C6173A" w:rsidRDefault="00C6173A" w:rsidP="00EF3EFD">
      <w:pPr>
        <w:rPr>
          <w:lang w:val="sv-SE" w:eastAsia="zh-CN"/>
        </w:rPr>
      </w:pPr>
    </w:p>
    <w:p w14:paraId="5D403562" w14:textId="04D6852C" w:rsidR="00031C1A" w:rsidRDefault="00031C1A" w:rsidP="00EF3EFD">
      <w:pPr>
        <w:rPr>
          <w:lang w:val="sv-SE" w:eastAsia="zh-CN"/>
        </w:rPr>
      </w:pPr>
      <w:r>
        <w:rPr>
          <w:lang w:val="sv-SE" w:eastAsia="zh-CN"/>
        </w:rPr>
        <w:t>Following the WF shown above, we have proposed a separate tdoc carrying all the submitted co-ex results before</w:t>
      </w:r>
      <w:r w:rsidR="00B36916">
        <w:rPr>
          <w:lang w:val="sv-SE" w:eastAsia="zh-CN"/>
        </w:rPr>
        <w:t xml:space="preserve"> this #113 meeting. And from the collected co-ex results, we have following observations from co-ex study point of view.</w:t>
      </w:r>
    </w:p>
    <w:p w14:paraId="34BF9857" w14:textId="7F5966FA" w:rsidR="00B36916" w:rsidRDefault="00B36916" w:rsidP="00EF3EFD">
      <w:pPr>
        <w:rPr>
          <w:lang w:val="sv-SE" w:eastAsia="zh-CN"/>
        </w:rPr>
      </w:pPr>
      <w:r w:rsidRPr="00B36916">
        <w:rPr>
          <w:b/>
          <w:lang w:val="sv-SE" w:eastAsia="zh-CN"/>
        </w:rPr>
        <w:t>Observation 1</w:t>
      </w:r>
      <w:r>
        <w:rPr>
          <w:lang w:val="sv-SE" w:eastAsia="zh-CN"/>
        </w:rPr>
        <w:t>: For PC2, most sources support ACLR smaller than 10 dBc if isolation distance of 1.5km is considered.</w:t>
      </w:r>
    </w:p>
    <w:p w14:paraId="3FF50FE7" w14:textId="28D6DAE0" w:rsidR="00B36916" w:rsidRDefault="00B36916" w:rsidP="00B36916">
      <w:pPr>
        <w:rPr>
          <w:lang w:val="sv-SE" w:eastAsia="zh-CN"/>
        </w:rPr>
      </w:pPr>
      <w:r w:rsidRPr="00B36916">
        <w:rPr>
          <w:b/>
          <w:lang w:val="sv-SE" w:eastAsia="zh-CN"/>
        </w:rPr>
        <w:t>Observation 2</w:t>
      </w:r>
      <w:r>
        <w:rPr>
          <w:lang w:val="sv-SE" w:eastAsia="zh-CN"/>
        </w:rPr>
        <w:t>:</w:t>
      </w:r>
      <w:r w:rsidRPr="00B36916">
        <w:rPr>
          <w:lang w:val="sv-SE" w:eastAsia="zh-CN"/>
        </w:rPr>
        <w:t xml:space="preserve"> </w:t>
      </w:r>
      <w:r>
        <w:rPr>
          <w:lang w:val="sv-SE" w:eastAsia="zh-CN"/>
        </w:rPr>
        <w:t>For PC2, most sources support ACLR can be around 25 dBc if no isolation distance is considered.</w:t>
      </w:r>
    </w:p>
    <w:p w14:paraId="59F5CA0A" w14:textId="583E1751" w:rsidR="00B36916" w:rsidRDefault="00B36916" w:rsidP="00EF3EFD">
      <w:pPr>
        <w:rPr>
          <w:lang w:val="sv-SE" w:eastAsia="zh-CN"/>
        </w:rPr>
      </w:pPr>
      <w:r w:rsidRPr="00B36916">
        <w:rPr>
          <w:rFonts w:hint="eastAsia"/>
          <w:b/>
          <w:lang w:val="sv-SE" w:eastAsia="zh-CN"/>
        </w:rPr>
        <w:t>O</w:t>
      </w:r>
      <w:r w:rsidRPr="00B36916">
        <w:rPr>
          <w:b/>
          <w:lang w:val="sv-SE" w:eastAsia="zh-CN"/>
        </w:rPr>
        <w:t>bservation 3</w:t>
      </w:r>
      <w:r>
        <w:rPr>
          <w:lang w:val="sv-SE" w:eastAsia="zh-CN"/>
        </w:rPr>
        <w:t>: For PC1, most sources support ACLR can be smaller than 20 dBc if isolation distance of 1.5km is considered.</w:t>
      </w:r>
    </w:p>
    <w:p w14:paraId="758D2B2B" w14:textId="7C14D5A6" w:rsidR="00B36916" w:rsidRDefault="00B36916" w:rsidP="00B36916">
      <w:pPr>
        <w:rPr>
          <w:lang w:val="sv-SE" w:eastAsia="zh-CN"/>
        </w:rPr>
      </w:pPr>
      <w:r w:rsidRPr="00B36916">
        <w:rPr>
          <w:b/>
          <w:lang w:val="sv-SE" w:eastAsia="zh-CN"/>
        </w:rPr>
        <w:t>Observation 4</w:t>
      </w:r>
      <w:r>
        <w:rPr>
          <w:lang w:val="sv-SE" w:eastAsia="zh-CN"/>
        </w:rPr>
        <w:t>: For PC1, most sources support ACLR can be around 30 dBc if no isolation distance is considered.</w:t>
      </w:r>
    </w:p>
    <w:p w14:paraId="452DE825" w14:textId="407DFD79" w:rsidR="00B36916" w:rsidRPr="00FE2E25" w:rsidRDefault="00B36916" w:rsidP="00EF3EFD">
      <w:pPr>
        <w:rPr>
          <w:b/>
          <w:lang w:val="sv-SE" w:eastAsia="zh-CN"/>
        </w:rPr>
      </w:pPr>
      <w:r w:rsidRPr="00FE2E25">
        <w:rPr>
          <w:b/>
          <w:lang w:val="sv-SE" w:eastAsia="zh-CN"/>
        </w:rPr>
        <w:t>Proposal 1: To adopt similar approach as agreed in #112bis WF [2]</w:t>
      </w:r>
      <w:r w:rsidR="00FE2E25" w:rsidRPr="00FE2E25">
        <w:rPr>
          <w:b/>
          <w:lang w:val="sv-SE" w:eastAsia="zh-CN"/>
        </w:rPr>
        <w:t>, to study the Tx requirements considering the ACLR observations in Observation 1~4 in parallel with the co-ex study discussions.</w:t>
      </w:r>
    </w:p>
    <w:p w14:paraId="3397A761" w14:textId="45BC3288" w:rsidR="00031C1A" w:rsidRDefault="00031C1A" w:rsidP="00EF3EFD">
      <w:pPr>
        <w:rPr>
          <w:lang w:val="sv-SE" w:eastAsia="zh-CN"/>
        </w:rPr>
      </w:pPr>
    </w:p>
    <w:p w14:paraId="190C66CE" w14:textId="2D8CFCFD" w:rsidR="0035601F" w:rsidRPr="00790A07" w:rsidRDefault="0035601F" w:rsidP="0035601F">
      <w:pPr>
        <w:pStyle w:val="1"/>
      </w:pPr>
      <w:r>
        <w:lastRenderedPageBreak/>
        <w:t>3</w:t>
      </w:r>
      <w:r w:rsidRPr="00790A07">
        <w:tab/>
      </w:r>
      <w:r>
        <w:t>SAR for handheld</w:t>
      </w:r>
    </w:p>
    <w:p w14:paraId="5FEB5CB4" w14:textId="54CBC1DC" w:rsidR="0035601F" w:rsidRDefault="0035601F" w:rsidP="00EF3EFD">
      <w:pPr>
        <w:rPr>
          <w:lang w:val="sv-SE" w:eastAsia="zh-CN"/>
        </w:rPr>
      </w:pPr>
      <w:r>
        <w:rPr>
          <w:rFonts w:hint="eastAsia"/>
          <w:lang w:val="sv-SE" w:eastAsia="zh-CN"/>
        </w:rPr>
        <w:t>I</w:t>
      </w:r>
      <w:r>
        <w:rPr>
          <w:lang w:val="sv-SE" w:eastAsia="zh-CN"/>
        </w:rPr>
        <w:t>n last meeting, the SAR solutions for handheld devices were slightly discussed. And it was agreed to take P-MPR as baseline and continue the effort to study other potential solutions in addition to P-MPR solution.</w:t>
      </w:r>
    </w:p>
    <w:p w14:paraId="27D8F4C2" w14:textId="4932762A" w:rsidR="0035601F" w:rsidRDefault="0035601F" w:rsidP="00EF3EFD">
      <w:pPr>
        <w:rPr>
          <w:lang w:val="sv-SE" w:eastAsia="zh-CN"/>
        </w:rPr>
      </w:pPr>
    </w:p>
    <w:p w14:paraId="2FEC123C" w14:textId="43973C1F" w:rsidR="0035601F" w:rsidRDefault="0035601F" w:rsidP="00EF3EFD">
      <w:pPr>
        <w:rPr>
          <w:lang w:val="sv-SE" w:eastAsia="zh-CN"/>
        </w:rPr>
      </w:pPr>
      <w:r>
        <w:rPr>
          <w:lang w:val="sv-SE" w:eastAsia="zh-CN"/>
        </w:rPr>
        <w:t xml:space="preserve">In last meeting, we proposed </w:t>
      </w:r>
      <w:r w:rsidR="00421993">
        <w:rPr>
          <w:lang w:val="sv-SE" w:eastAsia="zh-CN"/>
        </w:rPr>
        <w:t>the meeting to further discuss whether the duty cycle can be applicable for FDD band considering the NTN scenario.</w:t>
      </w:r>
    </w:p>
    <w:p w14:paraId="0CEBA17A" w14:textId="5EDD7901" w:rsidR="00421993" w:rsidRDefault="00421993" w:rsidP="00EF3EFD">
      <w:pPr>
        <w:rPr>
          <w:lang w:val="sv-SE" w:eastAsia="zh-CN"/>
        </w:rPr>
      </w:pPr>
      <w:r>
        <w:rPr>
          <w:lang w:val="sv-SE" w:eastAsia="zh-CN"/>
        </w:rPr>
        <w:t>The NTN FDD bands did not come with the TDD-like UL/DL semi-static configurations, and the scheduling is totally up to the network and cannot be justified for the UE for SAR compliance when addressing its SAR to the regulators.</w:t>
      </w:r>
    </w:p>
    <w:p w14:paraId="7177FD71" w14:textId="003623D5" w:rsidR="00421993" w:rsidRDefault="00421993" w:rsidP="00EF3EFD">
      <w:pPr>
        <w:rPr>
          <w:lang w:val="sv-SE" w:eastAsia="zh-CN"/>
        </w:rPr>
      </w:pPr>
      <w:r>
        <w:rPr>
          <w:lang w:val="sv-SE" w:eastAsia="zh-CN"/>
        </w:rPr>
        <w:t xml:space="preserve">In order to justify UE’s SAR conformance to the regulator, and considering to adopt a method similar to duty-cycle, </w:t>
      </w:r>
      <w:r w:rsidR="00C03AF4">
        <w:rPr>
          <w:lang w:val="sv-SE" w:eastAsia="zh-CN"/>
        </w:rPr>
        <w:t>it’s better to have a semi-static ’duty cycle’ like configuration, and it should be applicable to NTN FDD bands.</w:t>
      </w:r>
    </w:p>
    <w:p w14:paraId="38095E79" w14:textId="03BCC0DD" w:rsidR="00C03AF4" w:rsidRDefault="00C03AF4" w:rsidP="00EF3EFD">
      <w:pPr>
        <w:rPr>
          <w:lang w:val="sv-SE" w:eastAsia="zh-CN"/>
        </w:rPr>
      </w:pPr>
      <w:r>
        <w:rPr>
          <w:lang w:val="sv-SE" w:eastAsia="zh-CN"/>
        </w:rPr>
        <w:t>Considering the nature of the NTN network, which needs to serve multiple beams in a TDM manner, the serving time ratio per beam/coverage seems to be something that likely to be the ’duty cycle’ in NTN FDD bands operations.</w:t>
      </w:r>
    </w:p>
    <w:p w14:paraId="7B3F85C5" w14:textId="77777777" w:rsidR="00C03AF4" w:rsidRDefault="00C03AF4" w:rsidP="00EF3EFD">
      <w:pPr>
        <w:rPr>
          <w:lang w:val="sv-SE" w:eastAsia="zh-CN"/>
        </w:rPr>
      </w:pPr>
    </w:p>
    <w:p w14:paraId="5BD338ED" w14:textId="72BB8BC3" w:rsidR="00C03AF4" w:rsidRDefault="00C03AF4" w:rsidP="00EF3EFD">
      <w:pPr>
        <w:rPr>
          <w:lang w:val="sv-SE" w:eastAsia="zh-CN"/>
        </w:rPr>
      </w:pPr>
      <w:r w:rsidRPr="00C03AF4">
        <w:rPr>
          <w:b/>
          <w:lang w:val="sv-SE" w:eastAsia="zh-CN"/>
        </w:rPr>
        <w:t>Observation 5</w:t>
      </w:r>
      <w:r>
        <w:rPr>
          <w:lang w:val="sv-SE" w:eastAsia="zh-CN"/>
        </w:rPr>
        <w:t>: The NTN SAN has to serve different beams in a TDM manner. And the serving time ratio of each beam from a NTN SAN can be something to close the gap between the TDD duty-cycle solution to the NTN FDD bands.</w:t>
      </w:r>
    </w:p>
    <w:p w14:paraId="76804D81" w14:textId="6FDCF711" w:rsidR="00FE2E25" w:rsidRPr="00172A1F" w:rsidRDefault="00172A1F" w:rsidP="00EF3EFD">
      <w:pPr>
        <w:rPr>
          <w:b/>
          <w:lang w:val="sv-SE" w:eastAsia="zh-CN"/>
        </w:rPr>
      </w:pPr>
      <w:r w:rsidRPr="00172A1F">
        <w:rPr>
          <w:rFonts w:hint="eastAsia"/>
          <w:b/>
          <w:lang w:val="sv-SE" w:eastAsia="zh-CN"/>
        </w:rPr>
        <w:t>P</w:t>
      </w:r>
      <w:r w:rsidRPr="00172A1F">
        <w:rPr>
          <w:b/>
          <w:lang w:val="sv-SE" w:eastAsia="zh-CN"/>
        </w:rPr>
        <w:t xml:space="preserve">roposal 2: To consider the serving time of each beam, or the beam service time ratio of the UE, as a potential upper bound of the UL </w:t>
      </w:r>
      <w:r>
        <w:rPr>
          <w:b/>
          <w:lang w:val="sv-SE" w:eastAsia="zh-CN"/>
        </w:rPr>
        <w:t>’</w:t>
      </w:r>
      <w:r w:rsidRPr="00172A1F">
        <w:rPr>
          <w:b/>
          <w:lang w:val="sv-SE" w:eastAsia="zh-CN"/>
        </w:rPr>
        <w:t>duty</w:t>
      </w:r>
      <w:r>
        <w:rPr>
          <w:b/>
          <w:lang w:val="sv-SE" w:eastAsia="zh-CN"/>
        </w:rPr>
        <w:t>-cycle’</w:t>
      </w:r>
      <w:r w:rsidRPr="00172A1F">
        <w:rPr>
          <w:b/>
          <w:lang w:val="sv-SE" w:eastAsia="zh-CN"/>
        </w:rPr>
        <w:t xml:space="preserve"> for the NTN HPUE.</w:t>
      </w:r>
    </w:p>
    <w:p w14:paraId="4B3906C2" w14:textId="77777777" w:rsidR="00172A1F" w:rsidRDefault="00172A1F" w:rsidP="00EF3EFD">
      <w:pPr>
        <w:rPr>
          <w:lang w:val="sv-SE" w:eastAsia="zh-CN"/>
        </w:rPr>
      </w:pPr>
    </w:p>
    <w:p w14:paraId="43C4FFC4" w14:textId="1A529FF1" w:rsidR="00C03AF4" w:rsidRDefault="00C03AF4" w:rsidP="00EF3EFD">
      <w:pPr>
        <w:rPr>
          <w:lang w:val="sv-SE" w:eastAsia="zh-CN"/>
        </w:rPr>
      </w:pPr>
      <w:r>
        <w:rPr>
          <w:lang w:val="sv-SE" w:eastAsia="zh-CN"/>
        </w:rPr>
        <w:t xml:space="preserve">In last meeting, some companies, including us, proposed the NTN UE usually need to perform critical communications especially during the emergency situations. </w:t>
      </w:r>
    </w:p>
    <w:p w14:paraId="6ECE8F3B" w14:textId="5A09380E" w:rsidR="00E90D0E" w:rsidRDefault="00E90D0E" w:rsidP="00EF3EFD">
      <w:pPr>
        <w:rPr>
          <w:lang w:val="sv-SE" w:eastAsia="zh-CN"/>
        </w:rPr>
      </w:pPr>
      <w:r w:rsidRPr="00E90D0E">
        <w:rPr>
          <w:b/>
          <w:lang w:val="sv-SE" w:eastAsia="zh-CN"/>
        </w:rPr>
        <w:t>Observationt 6</w:t>
      </w:r>
      <w:r>
        <w:rPr>
          <w:lang w:val="sv-SE" w:eastAsia="zh-CN"/>
        </w:rPr>
        <w:t>: The previous duty-cycle solution target to reduce the maximum power of a HPUE, which does not fulfill the demand of having HPUE in NTN scenario for critical services especially under natural disasters.</w:t>
      </w:r>
    </w:p>
    <w:p w14:paraId="27A71E39" w14:textId="47B5C773" w:rsidR="00E90D0E" w:rsidRPr="00833823" w:rsidRDefault="00E90D0E" w:rsidP="00EF3EFD">
      <w:pPr>
        <w:rPr>
          <w:b/>
          <w:lang w:val="sv-SE" w:eastAsia="zh-CN"/>
        </w:rPr>
      </w:pPr>
      <w:r w:rsidRPr="00833823">
        <w:rPr>
          <w:b/>
          <w:lang w:val="sv-SE" w:eastAsia="zh-CN"/>
        </w:rPr>
        <w:t xml:space="preserve">Proposal 3: To further discuss the duty-cycle solution, and to check if it can be </w:t>
      </w:r>
      <w:r w:rsidR="00833823" w:rsidRPr="00833823">
        <w:rPr>
          <w:b/>
          <w:lang w:val="sv-SE" w:eastAsia="zh-CN"/>
        </w:rPr>
        <w:t xml:space="preserve">altered for NTN scenario to allow UE to stay in its declared </w:t>
      </w:r>
      <w:r w:rsidR="00833823">
        <w:rPr>
          <w:b/>
          <w:lang w:val="sv-SE" w:eastAsia="zh-CN"/>
        </w:rPr>
        <w:t>power class as much as possible, which helps NTN HPUE to close the link in emergencies and compensate the rain/cloud fading during natural disasters.</w:t>
      </w:r>
    </w:p>
    <w:p w14:paraId="23717330" w14:textId="77777777" w:rsidR="00C03AF4" w:rsidRPr="00C6173A" w:rsidRDefault="00C03AF4" w:rsidP="00EF3EFD">
      <w:pPr>
        <w:rPr>
          <w:lang w:val="sv-SE" w:eastAsia="zh-CN"/>
        </w:rPr>
      </w:pPr>
    </w:p>
    <w:p w14:paraId="08857DE8" w14:textId="16388446" w:rsidR="009B1101" w:rsidRPr="00D64FA5" w:rsidRDefault="008A5B58" w:rsidP="009B1101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="009B1101">
        <w:rPr>
          <w:lang w:val="en-US"/>
        </w:rPr>
        <w:tab/>
      </w:r>
      <w:r w:rsidR="009B1101" w:rsidRPr="00D64FA5">
        <w:rPr>
          <w:lang w:val="en-US"/>
        </w:rPr>
        <w:t>Conclusion</w:t>
      </w:r>
    </w:p>
    <w:p w14:paraId="043BEFF9" w14:textId="73F6C81E" w:rsidR="009B1101" w:rsidRDefault="009B1101" w:rsidP="009B1101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 xml:space="preserve">the </w:t>
      </w:r>
      <w:r w:rsidR="008A5B58">
        <w:rPr>
          <w:lang w:eastAsia="zh-CN"/>
        </w:rPr>
        <w:t>IoT NTN HPUE Tx requirements and SAR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>
        <w:t>.</w:t>
      </w:r>
    </w:p>
    <w:p w14:paraId="5D6813EB" w14:textId="77777777" w:rsidR="008A5B58" w:rsidRDefault="008A5B58" w:rsidP="008A5B58">
      <w:pPr>
        <w:rPr>
          <w:lang w:val="sv-SE" w:eastAsia="zh-CN"/>
        </w:rPr>
      </w:pPr>
      <w:r w:rsidRPr="00B36916">
        <w:rPr>
          <w:b/>
          <w:lang w:val="sv-SE" w:eastAsia="zh-CN"/>
        </w:rPr>
        <w:t>Observation 1</w:t>
      </w:r>
      <w:r>
        <w:rPr>
          <w:lang w:val="sv-SE" w:eastAsia="zh-CN"/>
        </w:rPr>
        <w:t>: For PC2, most sources support ACLR smaller than 10 dBc if isolation distance of 1.5km is considered.</w:t>
      </w:r>
    </w:p>
    <w:p w14:paraId="7CD1034C" w14:textId="77777777" w:rsidR="008A5B58" w:rsidRDefault="008A5B58" w:rsidP="008A5B58">
      <w:pPr>
        <w:rPr>
          <w:lang w:val="sv-SE" w:eastAsia="zh-CN"/>
        </w:rPr>
      </w:pPr>
      <w:r w:rsidRPr="00B36916">
        <w:rPr>
          <w:b/>
          <w:lang w:val="sv-SE" w:eastAsia="zh-CN"/>
        </w:rPr>
        <w:t>Observation 2</w:t>
      </w:r>
      <w:r>
        <w:rPr>
          <w:lang w:val="sv-SE" w:eastAsia="zh-CN"/>
        </w:rPr>
        <w:t>:</w:t>
      </w:r>
      <w:r w:rsidRPr="00B36916">
        <w:rPr>
          <w:lang w:val="sv-SE" w:eastAsia="zh-CN"/>
        </w:rPr>
        <w:t xml:space="preserve"> </w:t>
      </w:r>
      <w:r>
        <w:rPr>
          <w:lang w:val="sv-SE" w:eastAsia="zh-CN"/>
        </w:rPr>
        <w:t>For PC2, most sources support ACLR can be around 25 dBc if no isolation distance is considered.</w:t>
      </w:r>
    </w:p>
    <w:p w14:paraId="79786E25" w14:textId="77777777" w:rsidR="008A5B58" w:rsidRDefault="008A5B58" w:rsidP="008A5B58">
      <w:pPr>
        <w:rPr>
          <w:lang w:val="sv-SE" w:eastAsia="zh-CN"/>
        </w:rPr>
      </w:pPr>
      <w:r w:rsidRPr="00B36916">
        <w:rPr>
          <w:rFonts w:hint="eastAsia"/>
          <w:b/>
          <w:lang w:val="sv-SE" w:eastAsia="zh-CN"/>
        </w:rPr>
        <w:t>O</w:t>
      </w:r>
      <w:r w:rsidRPr="00B36916">
        <w:rPr>
          <w:b/>
          <w:lang w:val="sv-SE" w:eastAsia="zh-CN"/>
        </w:rPr>
        <w:t>bservation 3</w:t>
      </w:r>
      <w:r>
        <w:rPr>
          <w:lang w:val="sv-SE" w:eastAsia="zh-CN"/>
        </w:rPr>
        <w:t>: For PC1, most sources support ACLR can be smaller than 20 dBc if isolation distance of 1.5km is considered.</w:t>
      </w:r>
    </w:p>
    <w:p w14:paraId="1C26853E" w14:textId="77777777" w:rsidR="008A5B58" w:rsidRDefault="008A5B58" w:rsidP="008A5B58">
      <w:pPr>
        <w:rPr>
          <w:lang w:val="sv-SE" w:eastAsia="zh-CN"/>
        </w:rPr>
      </w:pPr>
      <w:r w:rsidRPr="00B36916">
        <w:rPr>
          <w:b/>
          <w:lang w:val="sv-SE" w:eastAsia="zh-CN"/>
        </w:rPr>
        <w:t>Observation 4</w:t>
      </w:r>
      <w:r>
        <w:rPr>
          <w:lang w:val="sv-SE" w:eastAsia="zh-CN"/>
        </w:rPr>
        <w:t>: For PC1, most sources support ACLR can be around 30 dBc if no isolation distance is considered.</w:t>
      </w:r>
    </w:p>
    <w:p w14:paraId="0CD2627C" w14:textId="7E18E30B" w:rsidR="008A5B58" w:rsidRDefault="008A5B58" w:rsidP="008A5B58">
      <w:pPr>
        <w:rPr>
          <w:b/>
          <w:lang w:val="sv-SE" w:eastAsia="zh-CN"/>
        </w:rPr>
      </w:pPr>
      <w:r w:rsidRPr="00FE2E25">
        <w:rPr>
          <w:b/>
          <w:lang w:val="sv-SE" w:eastAsia="zh-CN"/>
        </w:rPr>
        <w:t>Proposal 1: To adopt similar approach as agreed in #112bis WF [2], to study the Tx requirements considering the ACLR observations in Observation 1~4 in parallel with the co-ex study discussions.</w:t>
      </w:r>
    </w:p>
    <w:p w14:paraId="1BCB1F73" w14:textId="5A823B65" w:rsidR="008A5B58" w:rsidRDefault="008A5B58" w:rsidP="008A5B58">
      <w:pPr>
        <w:rPr>
          <w:b/>
          <w:lang w:val="sv-SE" w:eastAsia="zh-CN"/>
        </w:rPr>
      </w:pPr>
    </w:p>
    <w:p w14:paraId="101E1FC9" w14:textId="77777777" w:rsidR="008A5B58" w:rsidRDefault="008A5B58" w:rsidP="008A5B58">
      <w:pPr>
        <w:rPr>
          <w:lang w:val="sv-SE" w:eastAsia="zh-CN"/>
        </w:rPr>
      </w:pPr>
      <w:r w:rsidRPr="00C03AF4">
        <w:rPr>
          <w:b/>
          <w:lang w:val="sv-SE" w:eastAsia="zh-CN"/>
        </w:rPr>
        <w:t>Observation 5</w:t>
      </w:r>
      <w:r>
        <w:rPr>
          <w:lang w:val="sv-SE" w:eastAsia="zh-CN"/>
        </w:rPr>
        <w:t>: The NTN SAN has to serve different beams in a TDM manner. And the serving time ratio of each beam from a NTN SAN can be something to close the gap between the TDD duty-cycle solution to the NTN FDD bands.</w:t>
      </w:r>
    </w:p>
    <w:p w14:paraId="6EB619C3" w14:textId="77777777" w:rsidR="008A5B58" w:rsidRPr="00172A1F" w:rsidRDefault="008A5B58" w:rsidP="008A5B58">
      <w:pPr>
        <w:rPr>
          <w:b/>
          <w:lang w:val="sv-SE" w:eastAsia="zh-CN"/>
        </w:rPr>
      </w:pPr>
      <w:r w:rsidRPr="00172A1F">
        <w:rPr>
          <w:rFonts w:hint="eastAsia"/>
          <w:b/>
          <w:lang w:val="sv-SE" w:eastAsia="zh-CN"/>
        </w:rPr>
        <w:t>P</w:t>
      </w:r>
      <w:r w:rsidRPr="00172A1F">
        <w:rPr>
          <w:b/>
          <w:lang w:val="sv-SE" w:eastAsia="zh-CN"/>
        </w:rPr>
        <w:t xml:space="preserve">roposal 2: To consider the serving time of each beam, or the beam service time ratio of the UE, as a potential upper bound of the UL </w:t>
      </w:r>
      <w:r>
        <w:rPr>
          <w:b/>
          <w:lang w:val="sv-SE" w:eastAsia="zh-CN"/>
        </w:rPr>
        <w:t>’</w:t>
      </w:r>
      <w:r w:rsidRPr="00172A1F">
        <w:rPr>
          <w:b/>
          <w:lang w:val="sv-SE" w:eastAsia="zh-CN"/>
        </w:rPr>
        <w:t>duty</w:t>
      </w:r>
      <w:r>
        <w:rPr>
          <w:b/>
          <w:lang w:val="sv-SE" w:eastAsia="zh-CN"/>
        </w:rPr>
        <w:t>-cycle’</w:t>
      </w:r>
      <w:r w:rsidRPr="00172A1F">
        <w:rPr>
          <w:b/>
          <w:lang w:val="sv-SE" w:eastAsia="zh-CN"/>
        </w:rPr>
        <w:t xml:space="preserve"> for the NTN HPUE.</w:t>
      </w:r>
    </w:p>
    <w:p w14:paraId="512D6982" w14:textId="28349A83" w:rsidR="008A5B58" w:rsidRDefault="008A5B58" w:rsidP="008A5B58">
      <w:pPr>
        <w:rPr>
          <w:b/>
          <w:lang w:val="sv-SE" w:eastAsia="zh-CN"/>
        </w:rPr>
      </w:pPr>
    </w:p>
    <w:p w14:paraId="111A5574" w14:textId="77777777" w:rsidR="008A5B58" w:rsidRDefault="008A5B58" w:rsidP="008A5B58">
      <w:pPr>
        <w:rPr>
          <w:lang w:val="sv-SE" w:eastAsia="zh-CN"/>
        </w:rPr>
      </w:pPr>
      <w:r w:rsidRPr="00E90D0E">
        <w:rPr>
          <w:b/>
          <w:lang w:val="sv-SE" w:eastAsia="zh-CN"/>
        </w:rPr>
        <w:lastRenderedPageBreak/>
        <w:t>Observationt 6</w:t>
      </w:r>
      <w:r>
        <w:rPr>
          <w:lang w:val="sv-SE" w:eastAsia="zh-CN"/>
        </w:rPr>
        <w:t>: The previous duty-cycle solution target to reduce the maximum power of a HPUE, which does not fulfill the demand of having HPUE in NTN scenario for critical services especially under natural disasters.</w:t>
      </w:r>
    </w:p>
    <w:p w14:paraId="3A4CF1D2" w14:textId="77777777" w:rsidR="008A5B58" w:rsidRPr="00833823" w:rsidRDefault="008A5B58" w:rsidP="008A5B58">
      <w:pPr>
        <w:rPr>
          <w:b/>
          <w:lang w:val="sv-SE" w:eastAsia="zh-CN"/>
        </w:rPr>
      </w:pPr>
      <w:r w:rsidRPr="00833823">
        <w:rPr>
          <w:b/>
          <w:lang w:val="sv-SE" w:eastAsia="zh-CN"/>
        </w:rPr>
        <w:t xml:space="preserve">Proposal 3: To further discuss the duty-cycle solution, and to check if it can be altered for NTN scenario to allow UE to stay in its declared </w:t>
      </w:r>
      <w:r>
        <w:rPr>
          <w:b/>
          <w:lang w:val="sv-SE" w:eastAsia="zh-CN"/>
        </w:rPr>
        <w:t>power class as much as possible, which helps NTN HPUE to close the link in emergencies and compensate the rain/cloud fading during natural disasters.</w:t>
      </w:r>
    </w:p>
    <w:p w14:paraId="15C90359" w14:textId="729C5BEC" w:rsidR="009B1101" w:rsidRPr="0042663F" w:rsidRDefault="008A5B58" w:rsidP="009B1101">
      <w:pPr>
        <w:pStyle w:val="1"/>
        <w:jc w:val="both"/>
        <w:rPr>
          <w:lang w:val="en-US"/>
        </w:rPr>
      </w:pPr>
      <w:r>
        <w:rPr>
          <w:lang w:val="en-US"/>
        </w:rPr>
        <w:t>5</w:t>
      </w:r>
      <w:r w:rsidR="009B1101">
        <w:rPr>
          <w:lang w:val="en-US"/>
        </w:rPr>
        <w:tab/>
      </w:r>
      <w:r w:rsidR="009B1101" w:rsidRPr="0042663F">
        <w:rPr>
          <w:lang w:val="en-US"/>
        </w:rPr>
        <w:t>Reference</w:t>
      </w:r>
    </w:p>
    <w:p w14:paraId="48491355" w14:textId="78C86780" w:rsidR="00534556" w:rsidRDefault="00534556" w:rsidP="00EF3EFD">
      <w:pPr>
        <w:rPr>
          <w:lang w:val="sv-SE" w:eastAsia="zh-CN"/>
        </w:rPr>
      </w:pPr>
      <w:r>
        <w:rPr>
          <w:lang w:val="sv-SE" w:eastAsia="zh-CN"/>
        </w:rPr>
        <w:t>[1] R4-24</w:t>
      </w:r>
      <w:r w:rsidR="009112D7">
        <w:rPr>
          <w:lang w:val="sv-SE" w:eastAsia="zh-CN"/>
        </w:rPr>
        <w:t>1</w:t>
      </w:r>
      <w:r w:rsidR="00C6173A">
        <w:rPr>
          <w:lang w:val="sv-SE" w:eastAsia="zh-CN"/>
        </w:rPr>
        <w:t>7205</w:t>
      </w:r>
      <w:r>
        <w:rPr>
          <w:lang w:val="sv-SE" w:eastAsia="zh-CN"/>
        </w:rPr>
        <w:t xml:space="preserve">, </w:t>
      </w:r>
      <w:r w:rsidR="00C6173A" w:rsidRPr="00C6173A">
        <w:rPr>
          <w:lang w:val="sv-SE" w:eastAsia="zh-CN"/>
        </w:rPr>
        <w:t>WF on HPUE for IoT NTN</w:t>
      </w:r>
      <w:r>
        <w:rPr>
          <w:lang w:val="sv-SE" w:eastAsia="zh-CN"/>
        </w:rPr>
        <w:t xml:space="preserve">, </w:t>
      </w:r>
      <w:r w:rsidR="00C6173A">
        <w:rPr>
          <w:lang w:val="sv-SE" w:eastAsia="zh-CN"/>
        </w:rPr>
        <w:t>vivo</w:t>
      </w:r>
    </w:p>
    <w:p w14:paraId="6370EBB6" w14:textId="6F46B240" w:rsidR="00534556" w:rsidRPr="000B3968" w:rsidRDefault="00C6173A" w:rsidP="00EF3EFD">
      <w:pPr>
        <w:rPr>
          <w:lang w:val="sv-SE" w:eastAsia="zh-CN"/>
        </w:rPr>
      </w:pPr>
      <w:r>
        <w:rPr>
          <w:rFonts w:hint="eastAsia"/>
          <w:lang w:val="sv-SE" w:eastAsia="zh-CN"/>
        </w:rPr>
        <w:t>[</w:t>
      </w:r>
      <w:r>
        <w:rPr>
          <w:lang w:val="sv-SE" w:eastAsia="zh-CN"/>
        </w:rPr>
        <w:t xml:space="preserve">2] R4-2417122, </w:t>
      </w:r>
      <w:r w:rsidRPr="00C6173A">
        <w:rPr>
          <w:lang w:val="sv-SE" w:eastAsia="zh-CN"/>
        </w:rPr>
        <w:t>WF on co-existence study and HPUE for NR-NTN</w:t>
      </w:r>
      <w:r>
        <w:rPr>
          <w:lang w:val="sv-SE" w:eastAsia="zh-CN"/>
        </w:rPr>
        <w:t>, Samsung</w:t>
      </w:r>
    </w:p>
    <w:sectPr w:rsidR="00534556" w:rsidRPr="000B3968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8CCC2" w14:textId="77777777" w:rsidR="00F646B5" w:rsidRDefault="00F646B5" w:rsidP="006165E1">
      <w:pPr>
        <w:spacing w:after="0"/>
      </w:pPr>
      <w:r>
        <w:separator/>
      </w:r>
    </w:p>
  </w:endnote>
  <w:endnote w:type="continuationSeparator" w:id="0">
    <w:p w14:paraId="50F6A000" w14:textId="77777777" w:rsidR="00F646B5" w:rsidRDefault="00F646B5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B87E3" w14:textId="77777777" w:rsidR="00F646B5" w:rsidRDefault="00F646B5" w:rsidP="006165E1">
      <w:pPr>
        <w:spacing w:after="0"/>
      </w:pPr>
      <w:r>
        <w:separator/>
      </w:r>
    </w:p>
  </w:footnote>
  <w:footnote w:type="continuationSeparator" w:id="0">
    <w:p w14:paraId="69E08553" w14:textId="77777777" w:rsidR="00F646B5" w:rsidRDefault="00F646B5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ED9C976"/>
    <w:multiLevelType w:val="singleLevel"/>
    <w:tmpl w:val="AED9C976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946605E"/>
    <w:multiLevelType w:val="hybridMultilevel"/>
    <w:tmpl w:val="E3106912"/>
    <w:lvl w:ilvl="0" w:tplc="411C5AE8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C03345"/>
    <w:multiLevelType w:val="hybridMultilevel"/>
    <w:tmpl w:val="5AD86E78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6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1951375"/>
    <w:multiLevelType w:val="hybridMultilevel"/>
    <w:tmpl w:val="CC02168A"/>
    <w:lvl w:ilvl="0" w:tplc="A1CEEB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8C65DA"/>
    <w:multiLevelType w:val="hybridMultilevel"/>
    <w:tmpl w:val="30A0C24A"/>
    <w:lvl w:ilvl="0" w:tplc="D6B4671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4E728F"/>
    <w:multiLevelType w:val="hybridMultilevel"/>
    <w:tmpl w:val="9F028558"/>
    <w:lvl w:ilvl="0" w:tplc="FB022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6" w15:restartNumberingAfterBreak="0">
    <w:nsid w:val="50B2102B"/>
    <w:multiLevelType w:val="hybridMultilevel"/>
    <w:tmpl w:val="11ECCC76"/>
    <w:lvl w:ilvl="0" w:tplc="AE26525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9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112192A"/>
    <w:multiLevelType w:val="multilevel"/>
    <w:tmpl w:val="7112192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1617894"/>
    <w:multiLevelType w:val="hybridMultilevel"/>
    <w:tmpl w:val="85A6D2BC"/>
    <w:lvl w:ilvl="0" w:tplc="9C527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652673A"/>
    <w:multiLevelType w:val="hybridMultilevel"/>
    <w:tmpl w:val="C95A07C6"/>
    <w:lvl w:ilvl="0" w:tplc="F8F0B27C">
      <w:start w:val="2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7"/>
  </w:num>
  <w:num w:numId="2">
    <w:abstractNumId w:val="41"/>
  </w:num>
  <w:num w:numId="3">
    <w:abstractNumId w:val="0"/>
  </w:num>
  <w:num w:numId="4">
    <w:abstractNumId w:val="32"/>
  </w:num>
  <w:num w:numId="5">
    <w:abstractNumId w:val="30"/>
  </w:num>
  <w:num w:numId="6">
    <w:abstractNumId w:val="25"/>
  </w:num>
  <w:num w:numId="7">
    <w:abstractNumId w:val="26"/>
  </w:num>
  <w:num w:numId="8">
    <w:abstractNumId w:val="16"/>
  </w:num>
  <w:num w:numId="9">
    <w:abstractNumId w:val="31"/>
  </w:num>
  <w:num w:numId="10">
    <w:abstractNumId w:val="46"/>
  </w:num>
  <w:num w:numId="11">
    <w:abstractNumId w:val="10"/>
  </w:num>
  <w:num w:numId="12">
    <w:abstractNumId w:val="19"/>
  </w:num>
  <w:num w:numId="13">
    <w:abstractNumId w:val="11"/>
  </w:num>
  <w:num w:numId="14">
    <w:abstractNumId w:val="28"/>
  </w:num>
  <w:num w:numId="15">
    <w:abstractNumId w:val="17"/>
  </w:num>
  <w:num w:numId="16">
    <w:abstractNumId w:val="21"/>
  </w:num>
  <w:num w:numId="17">
    <w:abstractNumId w:val="27"/>
  </w:num>
  <w:num w:numId="18">
    <w:abstractNumId w:val="35"/>
  </w:num>
  <w:num w:numId="19">
    <w:abstractNumId w:val="3"/>
  </w:num>
  <w:num w:numId="20">
    <w:abstractNumId w:val="33"/>
  </w:num>
  <w:num w:numId="21">
    <w:abstractNumId w:val="5"/>
  </w:num>
  <w:num w:numId="22">
    <w:abstractNumId w:val="4"/>
  </w:num>
  <w:num w:numId="23">
    <w:abstractNumId w:val="40"/>
  </w:num>
  <w:num w:numId="24">
    <w:abstractNumId w:val="38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4"/>
  </w:num>
  <w:num w:numId="27">
    <w:abstractNumId w:val="47"/>
  </w:num>
  <w:num w:numId="28">
    <w:abstractNumId w:val="36"/>
  </w:num>
  <w:num w:numId="29">
    <w:abstractNumId w:val="29"/>
  </w:num>
  <w:num w:numId="30">
    <w:abstractNumId w:val="18"/>
  </w:num>
  <w:num w:numId="31">
    <w:abstractNumId w:val="42"/>
  </w:num>
  <w:num w:numId="32">
    <w:abstractNumId w:val="20"/>
  </w:num>
  <w:num w:numId="33">
    <w:abstractNumId w:val="1"/>
  </w:num>
  <w:num w:numId="34">
    <w:abstractNumId w:val="15"/>
  </w:num>
  <w:num w:numId="35">
    <w:abstractNumId w:val="9"/>
  </w:num>
  <w:num w:numId="36">
    <w:abstractNumId w:val="6"/>
  </w:num>
  <w:num w:numId="37">
    <w:abstractNumId w:val="13"/>
  </w:num>
  <w:num w:numId="38">
    <w:abstractNumId w:val="45"/>
  </w:num>
  <w:num w:numId="39">
    <w:abstractNumId w:val="14"/>
  </w:num>
  <w:num w:numId="40">
    <w:abstractNumId w:val="12"/>
  </w:num>
  <w:num w:numId="41">
    <w:abstractNumId w:val="34"/>
  </w:num>
  <w:num w:numId="42">
    <w:abstractNumId w:val="2"/>
  </w:num>
  <w:num w:numId="43">
    <w:abstractNumId w:val="43"/>
  </w:num>
  <w:num w:numId="44">
    <w:abstractNumId w:val="23"/>
  </w:num>
  <w:num w:numId="45">
    <w:abstractNumId w:val="8"/>
  </w:num>
  <w:num w:numId="46">
    <w:abstractNumId w:val="44"/>
  </w:num>
  <w:num w:numId="47">
    <w:abstractNumId w:val="7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4F7"/>
    <w:rsid w:val="000126BE"/>
    <w:rsid w:val="00025AE6"/>
    <w:rsid w:val="00031C1A"/>
    <w:rsid w:val="00031F62"/>
    <w:rsid w:val="0003403D"/>
    <w:rsid w:val="0003540B"/>
    <w:rsid w:val="000376CE"/>
    <w:rsid w:val="000414A7"/>
    <w:rsid w:val="000461DB"/>
    <w:rsid w:val="00057514"/>
    <w:rsid w:val="00062129"/>
    <w:rsid w:val="0006795C"/>
    <w:rsid w:val="0007197B"/>
    <w:rsid w:val="000734E9"/>
    <w:rsid w:val="000747CE"/>
    <w:rsid w:val="00074BC9"/>
    <w:rsid w:val="000761DD"/>
    <w:rsid w:val="00076746"/>
    <w:rsid w:val="00084121"/>
    <w:rsid w:val="0008662F"/>
    <w:rsid w:val="00087C16"/>
    <w:rsid w:val="00092C90"/>
    <w:rsid w:val="000A2D5A"/>
    <w:rsid w:val="000A62F0"/>
    <w:rsid w:val="000A66B6"/>
    <w:rsid w:val="000B0F0F"/>
    <w:rsid w:val="000B3968"/>
    <w:rsid w:val="000B39D7"/>
    <w:rsid w:val="000B500E"/>
    <w:rsid w:val="000D2169"/>
    <w:rsid w:val="000E7E6F"/>
    <w:rsid w:val="001019D0"/>
    <w:rsid w:val="001045CF"/>
    <w:rsid w:val="00111A49"/>
    <w:rsid w:val="00111B5C"/>
    <w:rsid w:val="00113700"/>
    <w:rsid w:val="001157B3"/>
    <w:rsid w:val="00117B0A"/>
    <w:rsid w:val="00121402"/>
    <w:rsid w:val="00125501"/>
    <w:rsid w:val="00137303"/>
    <w:rsid w:val="00140F48"/>
    <w:rsid w:val="00145AA9"/>
    <w:rsid w:val="001469E5"/>
    <w:rsid w:val="00167EEB"/>
    <w:rsid w:val="00170A1E"/>
    <w:rsid w:val="00172A1F"/>
    <w:rsid w:val="00182F5C"/>
    <w:rsid w:val="001852D3"/>
    <w:rsid w:val="001A3FB5"/>
    <w:rsid w:val="001B593C"/>
    <w:rsid w:val="001B6EBE"/>
    <w:rsid w:val="001C1FE2"/>
    <w:rsid w:val="001C2C3B"/>
    <w:rsid w:val="001D12C7"/>
    <w:rsid w:val="001D1AB7"/>
    <w:rsid w:val="001D1C53"/>
    <w:rsid w:val="001D28D3"/>
    <w:rsid w:val="001D759D"/>
    <w:rsid w:val="001E2428"/>
    <w:rsid w:val="001F11C7"/>
    <w:rsid w:val="001F62FC"/>
    <w:rsid w:val="002014D0"/>
    <w:rsid w:val="00213C59"/>
    <w:rsid w:val="00216843"/>
    <w:rsid w:val="00231CC1"/>
    <w:rsid w:val="00236C4A"/>
    <w:rsid w:val="002458C8"/>
    <w:rsid w:val="00245A6E"/>
    <w:rsid w:val="002472D9"/>
    <w:rsid w:val="002523E5"/>
    <w:rsid w:val="00253F79"/>
    <w:rsid w:val="0025747D"/>
    <w:rsid w:val="0026687D"/>
    <w:rsid w:val="0026693D"/>
    <w:rsid w:val="002673D3"/>
    <w:rsid w:val="0027793E"/>
    <w:rsid w:val="00280C3B"/>
    <w:rsid w:val="00283DA2"/>
    <w:rsid w:val="0028586C"/>
    <w:rsid w:val="00285F5F"/>
    <w:rsid w:val="00297370"/>
    <w:rsid w:val="002A4E5D"/>
    <w:rsid w:val="002B2A9B"/>
    <w:rsid w:val="002B2DCA"/>
    <w:rsid w:val="002B35A3"/>
    <w:rsid w:val="002B3F19"/>
    <w:rsid w:val="002B4A4E"/>
    <w:rsid w:val="002C528E"/>
    <w:rsid w:val="002C78DC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300E16"/>
    <w:rsid w:val="0030508F"/>
    <w:rsid w:val="0030663C"/>
    <w:rsid w:val="00310587"/>
    <w:rsid w:val="003168C7"/>
    <w:rsid w:val="00325A14"/>
    <w:rsid w:val="0033218E"/>
    <w:rsid w:val="0035601F"/>
    <w:rsid w:val="00356FF3"/>
    <w:rsid w:val="0036171D"/>
    <w:rsid w:val="00366B81"/>
    <w:rsid w:val="003676AB"/>
    <w:rsid w:val="003813E5"/>
    <w:rsid w:val="00383A21"/>
    <w:rsid w:val="00386DF4"/>
    <w:rsid w:val="00387B65"/>
    <w:rsid w:val="00393D9C"/>
    <w:rsid w:val="003A2C1B"/>
    <w:rsid w:val="003A39AE"/>
    <w:rsid w:val="003B1928"/>
    <w:rsid w:val="003B2BFF"/>
    <w:rsid w:val="003B2C64"/>
    <w:rsid w:val="003B46EC"/>
    <w:rsid w:val="003C15F9"/>
    <w:rsid w:val="003C40AC"/>
    <w:rsid w:val="003C6A2A"/>
    <w:rsid w:val="003D04FF"/>
    <w:rsid w:val="003D1CCF"/>
    <w:rsid w:val="003D7DDE"/>
    <w:rsid w:val="003E23C3"/>
    <w:rsid w:val="003E2F2D"/>
    <w:rsid w:val="003F3C93"/>
    <w:rsid w:val="004021D1"/>
    <w:rsid w:val="00406D22"/>
    <w:rsid w:val="00406F86"/>
    <w:rsid w:val="00412E23"/>
    <w:rsid w:val="004137CD"/>
    <w:rsid w:val="00421993"/>
    <w:rsid w:val="0042293C"/>
    <w:rsid w:val="004249FC"/>
    <w:rsid w:val="00424BF4"/>
    <w:rsid w:val="004267D5"/>
    <w:rsid w:val="00435458"/>
    <w:rsid w:val="004418D4"/>
    <w:rsid w:val="0045285B"/>
    <w:rsid w:val="00452AC3"/>
    <w:rsid w:val="00457292"/>
    <w:rsid w:val="0045780A"/>
    <w:rsid w:val="00457ACF"/>
    <w:rsid w:val="00457F45"/>
    <w:rsid w:val="0046573E"/>
    <w:rsid w:val="00465F0C"/>
    <w:rsid w:val="00472F60"/>
    <w:rsid w:val="00474FCF"/>
    <w:rsid w:val="00485404"/>
    <w:rsid w:val="0049313B"/>
    <w:rsid w:val="004A139B"/>
    <w:rsid w:val="004A1D6C"/>
    <w:rsid w:val="004A3216"/>
    <w:rsid w:val="004B0981"/>
    <w:rsid w:val="004B2C6F"/>
    <w:rsid w:val="004B54EE"/>
    <w:rsid w:val="004E67B5"/>
    <w:rsid w:val="004F4EE5"/>
    <w:rsid w:val="004F6D35"/>
    <w:rsid w:val="00503A7B"/>
    <w:rsid w:val="00504FEF"/>
    <w:rsid w:val="005060A4"/>
    <w:rsid w:val="00515955"/>
    <w:rsid w:val="005177B6"/>
    <w:rsid w:val="00517AC1"/>
    <w:rsid w:val="00522BA0"/>
    <w:rsid w:val="00534556"/>
    <w:rsid w:val="00536915"/>
    <w:rsid w:val="00537B87"/>
    <w:rsid w:val="005456F0"/>
    <w:rsid w:val="00547CAD"/>
    <w:rsid w:val="00556B7A"/>
    <w:rsid w:val="00561FF8"/>
    <w:rsid w:val="005670F7"/>
    <w:rsid w:val="005706F0"/>
    <w:rsid w:val="00574BDC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F0936"/>
    <w:rsid w:val="005F1C54"/>
    <w:rsid w:val="005F1DCE"/>
    <w:rsid w:val="005F4EB2"/>
    <w:rsid w:val="005F57BB"/>
    <w:rsid w:val="005F621C"/>
    <w:rsid w:val="006039E6"/>
    <w:rsid w:val="00606B70"/>
    <w:rsid w:val="006101D5"/>
    <w:rsid w:val="006165E1"/>
    <w:rsid w:val="00616EB0"/>
    <w:rsid w:val="0062060A"/>
    <w:rsid w:val="00622675"/>
    <w:rsid w:val="00622CF2"/>
    <w:rsid w:val="006308E1"/>
    <w:rsid w:val="006412B1"/>
    <w:rsid w:val="00641CA5"/>
    <w:rsid w:val="006427A8"/>
    <w:rsid w:val="0064471C"/>
    <w:rsid w:val="006540F2"/>
    <w:rsid w:val="00654AA3"/>
    <w:rsid w:val="006553F2"/>
    <w:rsid w:val="00665DEF"/>
    <w:rsid w:val="00673034"/>
    <w:rsid w:val="0068031F"/>
    <w:rsid w:val="006924D0"/>
    <w:rsid w:val="00692565"/>
    <w:rsid w:val="006A42EE"/>
    <w:rsid w:val="006A5323"/>
    <w:rsid w:val="006A6BBE"/>
    <w:rsid w:val="006B26E6"/>
    <w:rsid w:val="006C0AE1"/>
    <w:rsid w:val="006C178C"/>
    <w:rsid w:val="006C74F2"/>
    <w:rsid w:val="006D53CD"/>
    <w:rsid w:val="006D77DC"/>
    <w:rsid w:val="006E7BB8"/>
    <w:rsid w:val="006F722C"/>
    <w:rsid w:val="007123A0"/>
    <w:rsid w:val="0071452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56C80"/>
    <w:rsid w:val="0076153D"/>
    <w:rsid w:val="0076472B"/>
    <w:rsid w:val="00766576"/>
    <w:rsid w:val="007712B3"/>
    <w:rsid w:val="00774444"/>
    <w:rsid w:val="00774626"/>
    <w:rsid w:val="00777EEF"/>
    <w:rsid w:val="00784193"/>
    <w:rsid w:val="00790A07"/>
    <w:rsid w:val="007A2D2A"/>
    <w:rsid w:val="007A77B2"/>
    <w:rsid w:val="007E0CCC"/>
    <w:rsid w:val="007E44A9"/>
    <w:rsid w:val="007E6DCB"/>
    <w:rsid w:val="007F18B3"/>
    <w:rsid w:val="007F578D"/>
    <w:rsid w:val="007F5DD2"/>
    <w:rsid w:val="007F6063"/>
    <w:rsid w:val="00806893"/>
    <w:rsid w:val="00810804"/>
    <w:rsid w:val="00815763"/>
    <w:rsid w:val="00815DE1"/>
    <w:rsid w:val="0081697C"/>
    <w:rsid w:val="00824F31"/>
    <w:rsid w:val="00833823"/>
    <w:rsid w:val="00835B1C"/>
    <w:rsid w:val="00850E13"/>
    <w:rsid w:val="00852FE5"/>
    <w:rsid w:val="00853C49"/>
    <w:rsid w:val="00857825"/>
    <w:rsid w:val="008726C7"/>
    <w:rsid w:val="00881CCD"/>
    <w:rsid w:val="00890CDE"/>
    <w:rsid w:val="00891C63"/>
    <w:rsid w:val="00892DC6"/>
    <w:rsid w:val="0089762B"/>
    <w:rsid w:val="008A5B58"/>
    <w:rsid w:val="008A7BA9"/>
    <w:rsid w:val="008B2E9F"/>
    <w:rsid w:val="008B3B78"/>
    <w:rsid w:val="008B3E51"/>
    <w:rsid w:val="008C6750"/>
    <w:rsid w:val="008D0588"/>
    <w:rsid w:val="008D2DC6"/>
    <w:rsid w:val="008D58B4"/>
    <w:rsid w:val="008D6237"/>
    <w:rsid w:val="008E0905"/>
    <w:rsid w:val="008E1CED"/>
    <w:rsid w:val="008E343E"/>
    <w:rsid w:val="008F08D0"/>
    <w:rsid w:val="008F2706"/>
    <w:rsid w:val="00901346"/>
    <w:rsid w:val="0090321C"/>
    <w:rsid w:val="009112D7"/>
    <w:rsid w:val="00914ABF"/>
    <w:rsid w:val="009238B9"/>
    <w:rsid w:val="00926389"/>
    <w:rsid w:val="009354CE"/>
    <w:rsid w:val="00935E78"/>
    <w:rsid w:val="0093677B"/>
    <w:rsid w:val="00940222"/>
    <w:rsid w:val="009458C1"/>
    <w:rsid w:val="009538CC"/>
    <w:rsid w:val="00953A50"/>
    <w:rsid w:val="00961595"/>
    <w:rsid w:val="009666B3"/>
    <w:rsid w:val="0096690A"/>
    <w:rsid w:val="00970B70"/>
    <w:rsid w:val="009748BF"/>
    <w:rsid w:val="009A7CA7"/>
    <w:rsid w:val="009B1101"/>
    <w:rsid w:val="009B12AF"/>
    <w:rsid w:val="009B5839"/>
    <w:rsid w:val="009C6211"/>
    <w:rsid w:val="009D3239"/>
    <w:rsid w:val="009E2305"/>
    <w:rsid w:val="009E4EB9"/>
    <w:rsid w:val="009E7B7F"/>
    <w:rsid w:val="009F473E"/>
    <w:rsid w:val="00A01ADF"/>
    <w:rsid w:val="00A03687"/>
    <w:rsid w:val="00A047C0"/>
    <w:rsid w:val="00A22A01"/>
    <w:rsid w:val="00A3370F"/>
    <w:rsid w:val="00A3704C"/>
    <w:rsid w:val="00A37739"/>
    <w:rsid w:val="00A4082E"/>
    <w:rsid w:val="00A46DB4"/>
    <w:rsid w:val="00A50FCE"/>
    <w:rsid w:val="00A538F5"/>
    <w:rsid w:val="00A541DB"/>
    <w:rsid w:val="00A57AC6"/>
    <w:rsid w:val="00A71C58"/>
    <w:rsid w:val="00A83FF5"/>
    <w:rsid w:val="00A84450"/>
    <w:rsid w:val="00A85911"/>
    <w:rsid w:val="00AA0044"/>
    <w:rsid w:val="00AA2538"/>
    <w:rsid w:val="00AA391F"/>
    <w:rsid w:val="00AA45FC"/>
    <w:rsid w:val="00AB5D8F"/>
    <w:rsid w:val="00AB7619"/>
    <w:rsid w:val="00AC49ED"/>
    <w:rsid w:val="00AD5F6F"/>
    <w:rsid w:val="00AE09D1"/>
    <w:rsid w:val="00AF0516"/>
    <w:rsid w:val="00AF6549"/>
    <w:rsid w:val="00B01D7A"/>
    <w:rsid w:val="00B04C4C"/>
    <w:rsid w:val="00B1135A"/>
    <w:rsid w:val="00B15694"/>
    <w:rsid w:val="00B27161"/>
    <w:rsid w:val="00B303FA"/>
    <w:rsid w:val="00B36916"/>
    <w:rsid w:val="00B37695"/>
    <w:rsid w:val="00B42D8C"/>
    <w:rsid w:val="00B45152"/>
    <w:rsid w:val="00B46BCB"/>
    <w:rsid w:val="00B738EA"/>
    <w:rsid w:val="00B77E7F"/>
    <w:rsid w:val="00B80475"/>
    <w:rsid w:val="00B807E1"/>
    <w:rsid w:val="00B841D0"/>
    <w:rsid w:val="00B863AD"/>
    <w:rsid w:val="00B86480"/>
    <w:rsid w:val="00B868AF"/>
    <w:rsid w:val="00BA50C6"/>
    <w:rsid w:val="00BA5849"/>
    <w:rsid w:val="00BC250E"/>
    <w:rsid w:val="00BC386A"/>
    <w:rsid w:val="00BC4F68"/>
    <w:rsid w:val="00BC50A1"/>
    <w:rsid w:val="00BC78F8"/>
    <w:rsid w:val="00BD3324"/>
    <w:rsid w:val="00BD5B4F"/>
    <w:rsid w:val="00BE1534"/>
    <w:rsid w:val="00BE68A6"/>
    <w:rsid w:val="00BF25C3"/>
    <w:rsid w:val="00BF48B2"/>
    <w:rsid w:val="00BF60BE"/>
    <w:rsid w:val="00BF775E"/>
    <w:rsid w:val="00C00D17"/>
    <w:rsid w:val="00C03AF4"/>
    <w:rsid w:val="00C05B36"/>
    <w:rsid w:val="00C11F21"/>
    <w:rsid w:val="00C136AF"/>
    <w:rsid w:val="00C166B8"/>
    <w:rsid w:val="00C21FFA"/>
    <w:rsid w:val="00C26C33"/>
    <w:rsid w:val="00C32D18"/>
    <w:rsid w:val="00C33152"/>
    <w:rsid w:val="00C407D0"/>
    <w:rsid w:val="00C50838"/>
    <w:rsid w:val="00C5394A"/>
    <w:rsid w:val="00C6173A"/>
    <w:rsid w:val="00C726FA"/>
    <w:rsid w:val="00C73DD3"/>
    <w:rsid w:val="00C827A0"/>
    <w:rsid w:val="00C82A65"/>
    <w:rsid w:val="00C9207C"/>
    <w:rsid w:val="00C95266"/>
    <w:rsid w:val="00CA0DA8"/>
    <w:rsid w:val="00CA3F1D"/>
    <w:rsid w:val="00CA7FAB"/>
    <w:rsid w:val="00CB14A2"/>
    <w:rsid w:val="00CC1F12"/>
    <w:rsid w:val="00CC3D43"/>
    <w:rsid w:val="00CC59B0"/>
    <w:rsid w:val="00CD3B34"/>
    <w:rsid w:val="00CD6A92"/>
    <w:rsid w:val="00CE1408"/>
    <w:rsid w:val="00CE66F3"/>
    <w:rsid w:val="00CF2A2A"/>
    <w:rsid w:val="00CF4E9A"/>
    <w:rsid w:val="00D00A33"/>
    <w:rsid w:val="00D03C25"/>
    <w:rsid w:val="00D04E40"/>
    <w:rsid w:val="00D32ECF"/>
    <w:rsid w:val="00D370F0"/>
    <w:rsid w:val="00D45A56"/>
    <w:rsid w:val="00D45E13"/>
    <w:rsid w:val="00D55ACC"/>
    <w:rsid w:val="00D6047E"/>
    <w:rsid w:val="00D61516"/>
    <w:rsid w:val="00D648AF"/>
    <w:rsid w:val="00D73218"/>
    <w:rsid w:val="00D77500"/>
    <w:rsid w:val="00D81E6B"/>
    <w:rsid w:val="00D8377C"/>
    <w:rsid w:val="00D84F45"/>
    <w:rsid w:val="00D92D67"/>
    <w:rsid w:val="00DA169E"/>
    <w:rsid w:val="00DA49B8"/>
    <w:rsid w:val="00DB3232"/>
    <w:rsid w:val="00DC404D"/>
    <w:rsid w:val="00DC46CE"/>
    <w:rsid w:val="00DC5AFF"/>
    <w:rsid w:val="00DD075F"/>
    <w:rsid w:val="00DD1856"/>
    <w:rsid w:val="00DD1B0E"/>
    <w:rsid w:val="00DD3C34"/>
    <w:rsid w:val="00DD448B"/>
    <w:rsid w:val="00DE1F84"/>
    <w:rsid w:val="00DE473D"/>
    <w:rsid w:val="00E036D1"/>
    <w:rsid w:val="00E33CA3"/>
    <w:rsid w:val="00E41394"/>
    <w:rsid w:val="00E50682"/>
    <w:rsid w:val="00E575FD"/>
    <w:rsid w:val="00E63CEC"/>
    <w:rsid w:val="00E66A08"/>
    <w:rsid w:val="00E67235"/>
    <w:rsid w:val="00E716AA"/>
    <w:rsid w:val="00E76CC5"/>
    <w:rsid w:val="00E86048"/>
    <w:rsid w:val="00E90D0E"/>
    <w:rsid w:val="00E95EAD"/>
    <w:rsid w:val="00E96736"/>
    <w:rsid w:val="00EB23AB"/>
    <w:rsid w:val="00EB640B"/>
    <w:rsid w:val="00EB76C3"/>
    <w:rsid w:val="00EC3848"/>
    <w:rsid w:val="00ED023E"/>
    <w:rsid w:val="00ED266F"/>
    <w:rsid w:val="00ED4EA2"/>
    <w:rsid w:val="00ED7043"/>
    <w:rsid w:val="00EE3963"/>
    <w:rsid w:val="00EE4986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24CA1"/>
    <w:rsid w:val="00F345F3"/>
    <w:rsid w:val="00F36CEC"/>
    <w:rsid w:val="00F54580"/>
    <w:rsid w:val="00F56038"/>
    <w:rsid w:val="00F5659D"/>
    <w:rsid w:val="00F645ED"/>
    <w:rsid w:val="00F646B5"/>
    <w:rsid w:val="00F7357C"/>
    <w:rsid w:val="00F73A2F"/>
    <w:rsid w:val="00F74B18"/>
    <w:rsid w:val="00F75D7E"/>
    <w:rsid w:val="00F77D02"/>
    <w:rsid w:val="00F80834"/>
    <w:rsid w:val="00F87CCC"/>
    <w:rsid w:val="00F93D7D"/>
    <w:rsid w:val="00FA081E"/>
    <w:rsid w:val="00FA2AB4"/>
    <w:rsid w:val="00FA30F9"/>
    <w:rsid w:val="00FA5E83"/>
    <w:rsid w:val="00FB3666"/>
    <w:rsid w:val="00FB61E5"/>
    <w:rsid w:val="00FD3FF1"/>
    <w:rsid w:val="00FE1D56"/>
    <w:rsid w:val="00FE221B"/>
    <w:rsid w:val="00FE2E25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ED7EDF41-979C-41FA-BD05-733E2149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B58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qFormat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リスト段落,列表段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EQ">
    <w:name w:val="EQ"/>
    <w:basedOn w:val="a"/>
    <w:next w:val="a"/>
    <w:link w:val="EQChar"/>
    <w:qFormat/>
    <w:rsid w:val="000B396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B1">
    <w:name w:val="B1"/>
    <w:basedOn w:val="af2"/>
    <w:link w:val="B1Char"/>
    <w:qFormat/>
    <w:rsid w:val="000B396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sid w:val="000B3968"/>
    <w:rPr>
      <w:rFonts w:eastAsia="Times New Roman"/>
      <w:noProof/>
      <w:lang w:val="en-GB" w:eastAsia="en-GB"/>
    </w:rPr>
  </w:style>
  <w:style w:type="character" w:customStyle="1" w:styleId="B1Char">
    <w:name w:val="B1 Char"/>
    <w:link w:val="B1"/>
    <w:qFormat/>
    <w:rsid w:val="000B3968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B3968"/>
    <w:rPr>
      <w:rFonts w:eastAsia="等线"/>
      <w:lang w:val="en-GB" w:eastAsia="en-GB"/>
    </w:rPr>
  </w:style>
  <w:style w:type="paragraph" w:styleId="af2">
    <w:name w:val="List"/>
    <w:basedOn w:val="a"/>
    <w:semiHidden/>
    <w:unhideWhenUsed/>
    <w:rsid w:val="000B396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30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11</cp:revision>
  <dcterms:created xsi:type="dcterms:W3CDTF">2024-11-08T17:22:00Z</dcterms:created>
  <dcterms:modified xsi:type="dcterms:W3CDTF">2024-11-08T19:33:00Z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